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color w:val="00b1af"/>
          <w:sz w:val="48"/>
          <w:szCs w:val="48"/>
        </w:rPr>
      </w:pPr>
      <w:r w:rsidDel="00000000" w:rsidR="00000000" w:rsidRPr="00000000">
        <w:rPr>
          <w:rFonts w:ascii="Raleway" w:cs="Raleway" w:eastAsia="Raleway" w:hAnsi="Raleway"/>
          <w:b w:val="1"/>
          <w:color w:val="00b1af"/>
          <w:sz w:val="48"/>
          <w:szCs w:val="48"/>
          <w:rtl w:val="0"/>
        </w:rPr>
        <w:t xml:space="preserve">“A 10 años de la Ley Nacional de Salud Mental: avances, retrocesos y desafíos”</w:t>
      </w:r>
    </w:p>
    <w:p w:rsidR="00000000" w:rsidDel="00000000" w:rsidP="00000000" w:rsidRDefault="00000000" w:rsidRPr="00000000" w14:paraId="00000002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EJE 1: ¿Por qué dejar atrás el manicomio? (2020)</w:t>
      </w:r>
    </w:p>
    <w:tbl>
      <w:tblPr>
        <w:tblStyle w:val="Table1"/>
        <w:tblW w:w="10740.0" w:type="dxa"/>
        <w:jc w:val="left"/>
        <w:tblInd w:w="-7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6660"/>
        <w:gridCol w:w="2145"/>
        <w:tblGridChange w:id="0">
          <w:tblGrid>
            <w:gridCol w:w="1935"/>
            <w:gridCol w:w="6660"/>
            <w:gridCol w:w="2145"/>
          </w:tblGrid>
        </w:tblGridChange>
      </w:tblGrid>
      <w:tr>
        <w:trPr>
          <w:trHeight w:val="420" w:hRule="atLeast"/>
        </w:trPr>
        <w:tc>
          <w:tcPr>
            <w:shd w:fill="00b1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1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1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Ponentes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 de septiembre, 11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“La CDPD y la ley 26.657: desde el manicomio a la comunidad”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El cambio de paradigma impulsado por la Convención sobre los Derechos de las Personas con Discapacidad y la Ley Nacional de Salud Mental.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Agustina Palacios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Leonardo Gorbacz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.0944881889763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30 de septiembre,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 hs.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“La experiencia de quienes habitaron el manicomio”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La internación psiquiátrica y su impacto en la vida de las personas usuarias de los servicios de salud mental.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María Morillo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Eduardo Codina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Bárbara Kunicki </w:t>
            </w:r>
          </w:p>
        </w:tc>
      </w:tr>
      <w:tr>
        <w:trPr>
          <w:trHeight w:val="12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21 de octubre,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“La manicomialización de las mujeres y la niñez”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La internación psiquiátrica desde una mirada interseccional y sus efectos en grupos específicos.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Alejandra Barcala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Macarena Sabin Paz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18 de noviembre,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 hs.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“El control de las prácticas manicomiales”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El rol de los organismos de protección de derechos en el control de las internaciones por motivos de salud mental a partir de la ley 26.657 y el Código Civil y Comercial de la Nación.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María Graciela Iglesias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Mariano Laufer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Facundo Capurro Robles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9 de diciembre,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“El estigma asociado a la internación manicomial”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La importancia de eliminar prejuicios y generar nuevas miradas sobre las personas usuarias de los servicios de salud mental para garantizar su inclusión en la comunidad.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Lorena Berrios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right" w:pos="9070.866141732284"/>
              </w:tabs>
              <w:spacing w:after="200" w:lineRule="auto"/>
              <w:ind w:right="44.76377952755911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Germán Alemanni </w:t>
            </w:r>
          </w:p>
          <w:p w:rsidR="00000000" w:rsidDel="00000000" w:rsidP="00000000" w:rsidRDefault="00000000" w:rsidRPr="00000000" w14:paraId="00000035">
            <w:pPr>
              <w:tabs>
                <w:tab w:val="right" w:pos="9070.866141732284"/>
              </w:tabs>
              <w:spacing w:after="200" w:lineRule="auto"/>
              <w:ind w:right="44.76377952755911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Andrea Demasi</w:t>
            </w:r>
          </w:p>
        </w:tc>
      </w:tr>
    </w:tbl>
    <w:p w:rsidR="00000000" w:rsidDel="00000000" w:rsidP="00000000" w:rsidRDefault="00000000" w:rsidRPr="00000000" w14:paraId="00000036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pos="9070.866141732284"/>
        </w:tabs>
        <w:spacing w:after="200" w:lineRule="auto"/>
        <w:ind w:right="44.76377952755911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Eje 2: Hacia una salud mental comunitaria (2021) </w:t>
      </w:r>
    </w:p>
    <w:tbl>
      <w:tblPr>
        <w:tblStyle w:val="Table2"/>
        <w:tblW w:w="10515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6795"/>
        <w:gridCol w:w="2145"/>
        <w:tblGridChange w:id="0">
          <w:tblGrid>
            <w:gridCol w:w="1575"/>
            <w:gridCol w:w="6795"/>
            <w:gridCol w:w="2145"/>
          </w:tblGrid>
        </w:tblGridChange>
      </w:tblGrid>
      <w:tr>
        <w:trPr>
          <w:trHeight w:val="420" w:hRule="atLeast"/>
        </w:trPr>
        <w:tc>
          <w:tcPr>
            <w:shd w:fill="00b1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Fecha y hora</w:t>
            </w:r>
          </w:p>
        </w:tc>
        <w:tc>
          <w:tcPr>
            <w:shd w:fill="00b1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00b1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Ponentes</w:t>
            </w:r>
          </w:p>
        </w:tc>
      </w:tr>
      <w:tr>
        <w:trPr>
          <w:trHeight w:val="15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10 de marzo, 11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“Políticas para la desmanicomialización y la inclusión comunitaria”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Las políticas públicas que deben adoptarse para la sustitución definitiva de los hospitales psiquiátricos y la implementación de un sistema de salud mental con enfoque de derechos.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Hugo Cohen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Paulo Amarante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María Bottinelli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7 de abril,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“Experiencias de salud mental comunitaria”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Los avances, desafíos y buenas prácticas en la implementación de dispositivos de atención comunitaria,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Ponentes a confirmar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5 de mayo,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 hs.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“La importancia del presupuesto en la implementación de la ley 26.657”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Los recursos que el Estado invierte en materia de salud mental y la necesidad de transferir fondos desde el manicomio a la comunidad.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ACIJ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 de junio,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00796b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 hs.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“El sistema de salud mental en Argentina a 10 años de ley 26.657”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Los avances y desafíos en el cumplimiento de la Ley Nacional de Salud Mental y las áreas prioritarias sobre las cuales se debe intervenir para garantizar una salud mental comunitaria.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Ponentes a confirmar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rFonts w:ascii="Raleway" w:cs="Raleway" w:eastAsia="Raleway" w:hAnsi="Ralew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200" w:line="240" w:lineRule="auto"/>
        <w:ind w:left="-566.9291338582677" w:firstLine="0"/>
        <w:jc w:val="both"/>
        <w:rPr>
          <w:rFonts w:ascii="Raleway" w:cs="Raleway" w:eastAsia="Raleway" w:hAnsi="Raleway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right" w:pos="9070.866141732284"/>
      </w:tabs>
      <w:spacing w:after="0" w:line="240" w:lineRule="auto"/>
      <w:ind w:right="44.76377952755911"/>
      <w:jc w:val="right"/>
      <w:rPr>
        <w:rFonts w:ascii="Raleway" w:cs="Raleway" w:eastAsia="Raleway" w:hAnsi="Raleway"/>
        <w:b w:val="1"/>
        <w:color w:val="00b1af"/>
      </w:rPr>
    </w:pPr>
    <w:r w:rsidDel="00000000" w:rsidR="00000000" w:rsidRPr="00000000">
      <w:rPr>
        <w:rFonts w:ascii="Raleway" w:cs="Raleway" w:eastAsia="Raleway" w:hAnsi="Raleway"/>
        <w:b w:val="1"/>
        <w:color w:val="00b1af"/>
        <w:rtl w:val="0"/>
      </w:rPr>
      <w:t xml:space="preserve">Ciclo de conversaciones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5476875</wp:posOffset>
          </wp:positionH>
          <wp:positionV relativeFrom="paragraph">
            <wp:posOffset>-104774</wp:posOffset>
          </wp:positionV>
          <wp:extent cx="762000" cy="6143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38931" t="0"/>
                  <a:stretch>
                    <a:fillRect/>
                  </a:stretch>
                </pic:blipFill>
                <pic:spPr>
                  <a:xfrm>
                    <a:off x="0" y="0"/>
                    <a:ext cx="762000" cy="614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tabs>
        <w:tab w:val="right" w:pos="9070.866141732284"/>
      </w:tabs>
      <w:spacing w:after="0" w:line="240" w:lineRule="auto"/>
      <w:ind w:right="44.76377952755911"/>
      <w:jc w:val="right"/>
      <w:rPr>
        <w:rFonts w:ascii="Raleway" w:cs="Raleway" w:eastAsia="Raleway" w:hAnsi="Raleway"/>
        <w:b w:val="1"/>
        <w:color w:val="414294"/>
        <w:sz w:val="48"/>
        <w:szCs w:val="48"/>
      </w:rPr>
    </w:pPr>
    <w:r w:rsidDel="00000000" w:rsidR="00000000" w:rsidRPr="00000000">
      <w:rPr>
        <w:rFonts w:ascii="Raleway" w:cs="Raleway" w:eastAsia="Raleway" w:hAnsi="Raleway"/>
        <w:b w:val="1"/>
        <w:color w:val="00b1af"/>
        <w:rtl w:val="0"/>
      </w:rPr>
      <w:t xml:space="preserve">Salud Mental y </w:t>
    </w:r>
    <w:r w:rsidDel="00000000" w:rsidR="00000000" w:rsidRPr="00000000">
      <w:rPr>
        <w:b w:val="1"/>
        <w:color w:val="00b1af"/>
        <w:highlight w:val="white"/>
        <w:rtl w:val="0"/>
      </w:rPr>
      <w:t xml:space="preserve">Derechos Humanos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